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D6231" w14:textId="77777777" w:rsidR="004C541A" w:rsidRDefault="00000000">
      <w:pPr>
        <w:adjustRightInd w:val="0"/>
        <w:snapToGrid w:val="0"/>
        <w:spacing w:beforeLines="50" w:before="156" w:afterLines="100" w:after="312" w:line="560" w:lineRule="exact"/>
        <w:jc w:val="center"/>
        <w:rPr>
          <w:rFonts w:ascii="黑体" w:eastAsia="黑体" w:hAnsi="黑体" w:cs="黑体" w:hint="eastAsia"/>
          <w:b/>
          <w:bCs/>
          <w:sz w:val="28"/>
          <w:szCs w:val="28"/>
        </w:rPr>
      </w:pPr>
      <w:r>
        <w:rPr>
          <w:rFonts w:ascii="宋体" w:hAnsi="宋体" w:cs="宋体" w:hint="eastAsia"/>
          <w:b/>
          <w:bCs/>
          <w:sz w:val="36"/>
          <w:szCs w:val="36"/>
        </w:rPr>
        <w:t>辽宁大学礼堂安全应急预案</w:t>
      </w:r>
    </w:p>
    <w:p w14:paraId="573CF141"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针对礼堂</w:t>
      </w:r>
      <w:r w:rsidRPr="00016110">
        <w:rPr>
          <w:rFonts w:ascii="仿宋" w:eastAsia="仿宋" w:hAnsi="仿宋" w:cs="仿宋" w:hint="eastAsia"/>
          <w:sz w:val="32"/>
          <w:szCs w:val="32"/>
        </w:rPr>
        <w:t>使用</w:t>
      </w:r>
      <w:r>
        <w:rPr>
          <w:rFonts w:ascii="仿宋" w:eastAsia="仿宋" w:hAnsi="仿宋" w:cs="仿宋" w:hint="eastAsia"/>
          <w:sz w:val="32"/>
          <w:szCs w:val="32"/>
        </w:rPr>
        <w:t>的安全情况，为保证各项活动安全、有序、顺利进行，保障参与活动人员的生命、财产安全，有效应对火灾、踩踏、坍塌等突发事故的发生，</w:t>
      </w:r>
      <w:r w:rsidRPr="00016110">
        <w:rPr>
          <w:rFonts w:ascii="仿宋" w:eastAsia="仿宋" w:hAnsi="仿宋" w:cs="仿宋" w:hint="eastAsia"/>
          <w:sz w:val="32"/>
          <w:szCs w:val="32"/>
        </w:rPr>
        <w:t>秉持</w:t>
      </w:r>
      <w:r>
        <w:rPr>
          <w:rFonts w:ascii="仿宋" w:eastAsia="仿宋" w:hAnsi="仿宋" w:cs="仿宋" w:hint="eastAsia"/>
          <w:sz w:val="32"/>
          <w:szCs w:val="32"/>
        </w:rPr>
        <w:t>“预防为主，防消结合”的原则，制定本预案，具体内容如下：</w:t>
      </w:r>
    </w:p>
    <w:p w14:paraId="58002367" w14:textId="77777777" w:rsidR="004C541A" w:rsidRDefault="004C541A">
      <w:pPr>
        <w:adjustRightInd w:val="0"/>
        <w:snapToGrid w:val="0"/>
        <w:spacing w:line="560" w:lineRule="atLeast"/>
        <w:rPr>
          <w:rFonts w:ascii="仿宋" w:eastAsia="仿宋" w:hAnsi="仿宋" w:cs="仿宋" w:hint="eastAsia"/>
          <w:b/>
          <w:bCs/>
          <w:sz w:val="32"/>
          <w:szCs w:val="32"/>
        </w:rPr>
      </w:pPr>
    </w:p>
    <w:p w14:paraId="185B09A0" w14:textId="77777777" w:rsidR="004C541A" w:rsidRDefault="00000000">
      <w:pPr>
        <w:adjustRightInd w:val="0"/>
        <w:snapToGrid w:val="0"/>
        <w:spacing w:line="560" w:lineRule="atLeast"/>
        <w:rPr>
          <w:rFonts w:ascii="仿宋" w:eastAsia="仿宋" w:hAnsi="仿宋" w:cs="仿宋" w:hint="eastAsia"/>
          <w:b/>
          <w:bCs/>
          <w:sz w:val="32"/>
          <w:szCs w:val="32"/>
        </w:rPr>
      </w:pPr>
      <w:r>
        <w:rPr>
          <w:rFonts w:ascii="仿宋" w:eastAsia="仿宋" w:hAnsi="仿宋" w:cs="仿宋" w:hint="eastAsia"/>
          <w:b/>
          <w:bCs/>
          <w:sz w:val="32"/>
          <w:szCs w:val="32"/>
        </w:rPr>
        <w:t>活动名称：</w:t>
      </w:r>
    </w:p>
    <w:p w14:paraId="778D057B" w14:textId="77777777" w:rsidR="004C541A" w:rsidRDefault="00000000">
      <w:pPr>
        <w:adjustRightInd w:val="0"/>
        <w:snapToGrid w:val="0"/>
        <w:spacing w:line="560" w:lineRule="atLeast"/>
        <w:rPr>
          <w:rFonts w:ascii="仿宋" w:eastAsia="仿宋" w:hAnsi="仿宋" w:cs="仿宋" w:hint="eastAsia"/>
          <w:b/>
          <w:bCs/>
          <w:sz w:val="32"/>
          <w:szCs w:val="32"/>
        </w:rPr>
      </w:pPr>
      <w:r>
        <w:rPr>
          <w:rFonts w:ascii="仿宋" w:eastAsia="仿宋" w:hAnsi="仿宋" w:cs="仿宋" w:hint="eastAsia"/>
          <w:b/>
          <w:bCs/>
          <w:sz w:val="32"/>
          <w:szCs w:val="32"/>
        </w:rPr>
        <w:t>活动时间：</w:t>
      </w:r>
    </w:p>
    <w:p w14:paraId="78182F06" w14:textId="77777777" w:rsidR="004C541A" w:rsidRDefault="00000000">
      <w:pPr>
        <w:adjustRightInd w:val="0"/>
        <w:snapToGrid w:val="0"/>
        <w:spacing w:line="560" w:lineRule="atLeast"/>
        <w:rPr>
          <w:rFonts w:ascii="仿宋" w:eastAsia="仿宋" w:hAnsi="仿宋" w:cs="仿宋" w:hint="eastAsia"/>
          <w:b/>
          <w:bCs/>
          <w:sz w:val="32"/>
          <w:szCs w:val="32"/>
        </w:rPr>
      </w:pPr>
      <w:r>
        <w:rPr>
          <w:rFonts w:ascii="仿宋" w:eastAsia="仿宋" w:hAnsi="仿宋" w:cs="仿宋" w:hint="eastAsia"/>
          <w:b/>
          <w:bCs/>
          <w:sz w:val="32"/>
          <w:szCs w:val="32"/>
        </w:rPr>
        <w:t>活动单位：</w:t>
      </w:r>
    </w:p>
    <w:p w14:paraId="52D0F662" w14:textId="77777777" w:rsidR="004C541A" w:rsidRDefault="004C541A">
      <w:pPr>
        <w:adjustRightInd w:val="0"/>
        <w:snapToGrid w:val="0"/>
        <w:spacing w:line="560" w:lineRule="atLeast"/>
        <w:rPr>
          <w:rFonts w:ascii="仿宋" w:eastAsia="仿宋" w:hAnsi="仿宋" w:cs="仿宋" w:hint="eastAsia"/>
          <w:sz w:val="32"/>
          <w:szCs w:val="32"/>
        </w:rPr>
      </w:pPr>
    </w:p>
    <w:p w14:paraId="3588FB86" w14:textId="77777777" w:rsidR="004C541A" w:rsidRDefault="00000000">
      <w:pPr>
        <w:adjustRightInd w:val="0"/>
        <w:snapToGrid w:val="0"/>
        <w:spacing w:line="560" w:lineRule="atLeas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一、礼堂活动使用安全组织架构</w:t>
      </w:r>
    </w:p>
    <w:p w14:paraId="6A24EC9B" w14:textId="77777777" w:rsidR="004C541A" w:rsidRDefault="004C541A">
      <w:pPr>
        <w:adjustRightInd w:val="0"/>
        <w:snapToGrid w:val="0"/>
        <w:spacing w:line="560" w:lineRule="atLeast"/>
        <w:rPr>
          <w:rFonts w:ascii="仿宋" w:eastAsia="仿宋" w:hAnsi="仿宋" w:cs="仿宋" w:hint="eastAsia"/>
          <w:b/>
          <w:bCs/>
          <w:sz w:val="32"/>
          <w:szCs w:val="32"/>
        </w:rPr>
      </w:pPr>
    </w:p>
    <w:p w14:paraId="63260910" w14:textId="77777777" w:rsidR="004C541A" w:rsidRDefault="00000000">
      <w:pPr>
        <w:adjustRightInd w:val="0"/>
        <w:snapToGrid w:val="0"/>
        <w:spacing w:line="560" w:lineRule="atLeast"/>
        <w:rPr>
          <w:rFonts w:ascii="仿宋" w:eastAsia="仿宋" w:hAnsi="仿宋" w:cs="仿宋" w:hint="eastAsia"/>
          <w:b/>
          <w:bCs/>
          <w:sz w:val="32"/>
          <w:szCs w:val="32"/>
        </w:rPr>
      </w:pPr>
      <w:r>
        <w:rPr>
          <w:rFonts w:ascii="仿宋" w:eastAsia="仿宋" w:hAnsi="仿宋" w:cs="仿宋" w:hint="eastAsia"/>
          <w:b/>
          <w:bCs/>
          <w:sz w:val="32"/>
          <w:szCs w:val="32"/>
        </w:rPr>
        <w:t>活动安全责任人：</w:t>
      </w:r>
    </w:p>
    <w:p w14:paraId="45368C4B" w14:textId="77777777" w:rsidR="004C541A" w:rsidRDefault="00000000">
      <w:pPr>
        <w:adjustRightInd w:val="0"/>
        <w:snapToGrid w:val="0"/>
        <w:spacing w:line="560" w:lineRule="atLeast"/>
        <w:rPr>
          <w:rFonts w:ascii="仿宋" w:eastAsia="仿宋" w:hAnsi="仿宋" w:cs="仿宋" w:hint="eastAsia"/>
          <w:b/>
          <w:bCs/>
          <w:sz w:val="32"/>
          <w:szCs w:val="32"/>
        </w:rPr>
      </w:pPr>
      <w:r>
        <w:rPr>
          <w:rFonts w:ascii="仿宋" w:eastAsia="仿宋" w:hAnsi="仿宋" w:cs="仿宋" w:hint="eastAsia"/>
          <w:b/>
          <w:bCs/>
          <w:sz w:val="32"/>
          <w:szCs w:val="32"/>
        </w:rPr>
        <w:t>消防安全责任人：</w:t>
      </w:r>
    </w:p>
    <w:p w14:paraId="19392FD8" w14:textId="77777777" w:rsidR="004C541A" w:rsidRDefault="00000000">
      <w:pPr>
        <w:adjustRightInd w:val="0"/>
        <w:snapToGrid w:val="0"/>
        <w:spacing w:line="560" w:lineRule="atLeast"/>
        <w:rPr>
          <w:rFonts w:ascii="仿宋" w:eastAsia="仿宋" w:hAnsi="仿宋" w:cs="仿宋" w:hint="eastAsia"/>
          <w:b/>
          <w:bCs/>
          <w:sz w:val="32"/>
          <w:szCs w:val="32"/>
        </w:rPr>
      </w:pPr>
      <w:r>
        <w:rPr>
          <w:rFonts w:ascii="仿宋" w:eastAsia="仿宋" w:hAnsi="仿宋" w:cs="仿宋" w:hint="eastAsia"/>
          <w:b/>
          <w:bCs/>
          <w:sz w:val="32"/>
          <w:szCs w:val="32"/>
        </w:rPr>
        <w:t>用电安全责任人：</w:t>
      </w:r>
    </w:p>
    <w:p w14:paraId="41ED3F8B" w14:textId="77777777" w:rsidR="004C541A" w:rsidRDefault="00000000">
      <w:pPr>
        <w:adjustRightInd w:val="0"/>
        <w:snapToGrid w:val="0"/>
        <w:spacing w:line="560" w:lineRule="atLeast"/>
        <w:rPr>
          <w:rFonts w:ascii="仿宋" w:eastAsia="仿宋" w:hAnsi="仿宋" w:cs="仿宋" w:hint="eastAsia"/>
          <w:b/>
          <w:bCs/>
          <w:sz w:val="32"/>
          <w:szCs w:val="32"/>
        </w:rPr>
      </w:pPr>
      <w:r>
        <w:rPr>
          <w:rFonts w:ascii="仿宋" w:eastAsia="仿宋" w:hAnsi="仿宋" w:cs="仿宋" w:hint="eastAsia"/>
          <w:b/>
          <w:bCs/>
          <w:sz w:val="32"/>
          <w:szCs w:val="32"/>
        </w:rPr>
        <w:t>外带设备责任人：</w:t>
      </w:r>
    </w:p>
    <w:p w14:paraId="45AB9BAD" w14:textId="77777777" w:rsidR="004C541A" w:rsidRDefault="004C541A">
      <w:pPr>
        <w:pStyle w:val="a9"/>
        <w:spacing w:before="0" w:beforeAutospacing="0" w:after="0" w:afterAutospacing="0" w:line="560" w:lineRule="atLeast"/>
        <w:jc w:val="both"/>
        <w:rPr>
          <w:rFonts w:ascii="仿宋" w:eastAsia="仿宋" w:hAnsi="仿宋" w:cs="仿宋" w:hint="eastAsia"/>
          <w:sz w:val="32"/>
          <w:szCs w:val="32"/>
        </w:rPr>
      </w:pPr>
    </w:p>
    <w:p w14:paraId="63801011" w14:textId="77777777" w:rsidR="004C541A" w:rsidRDefault="00000000">
      <w:pPr>
        <w:pStyle w:val="a9"/>
        <w:spacing w:before="0" w:beforeAutospacing="0" w:after="0" w:afterAutospacing="0" w:line="560" w:lineRule="atLeast"/>
        <w:ind w:firstLineChars="200" w:firstLine="643"/>
        <w:jc w:val="both"/>
        <w:rPr>
          <w:rFonts w:ascii="仿宋" w:eastAsia="仿宋" w:hAnsi="仿宋" w:cs="仿宋" w:hint="eastAsia"/>
          <w:b/>
          <w:bCs/>
          <w:sz w:val="32"/>
          <w:szCs w:val="32"/>
        </w:rPr>
      </w:pPr>
      <w:r>
        <w:rPr>
          <w:rFonts w:ascii="仿宋" w:eastAsia="仿宋" w:hAnsi="仿宋" w:cs="仿宋" w:hint="eastAsia"/>
          <w:b/>
          <w:bCs/>
          <w:sz w:val="32"/>
          <w:szCs w:val="32"/>
        </w:rPr>
        <w:t>二、礼堂活动安全责任人工作职责</w:t>
      </w:r>
    </w:p>
    <w:p w14:paraId="42F53C4F"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1.本着“谁主办谁负责”的原则，主办方使用礼堂，安全须由主办</w:t>
      </w:r>
      <w:proofErr w:type="gramStart"/>
      <w:r>
        <w:rPr>
          <w:rFonts w:ascii="仿宋" w:eastAsia="仿宋" w:hAnsi="仿宋" w:cs="仿宋" w:hint="eastAsia"/>
          <w:sz w:val="32"/>
          <w:szCs w:val="32"/>
        </w:rPr>
        <w:t>方具体</w:t>
      </w:r>
      <w:proofErr w:type="gramEnd"/>
      <w:r>
        <w:rPr>
          <w:rFonts w:ascii="仿宋" w:eastAsia="仿宋" w:hAnsi="仿宋" w:cs="仿宋" w:hint="eastAsia"/>
          <w:sz w:val="32"/>
          <w:szCs w:val="32"/>
        </w:rPr>
        <w:t>负责人保障，礼堂工作人员</w:t>
      </w:r>
      <w:proofErr w:type="gramStart"/>
      <w:r>
        <w:rPr>
          <w:rFonts w:ascii="仿宋" w:eastAsia="仿宋" w:hAnsi="仿宋" w:cs="仿宋" w:hint="eastAsia"/>
          <w:sz w:val="32"/>
          <w:szCs w:val="32"/>
        </w:rPr>
        <w:t>协助</w:t>
      </w:r>
      <w:r w:rsidRPr="00016110">
        <w:rPr>
          <w:rFonts w:ascii="仿宋" w:eastAsia="仿宋" w:hAnsi="仿宋" w:cs="仿宋" w:hint="eastAsia"/>
          <w:sz w:val="32"/>
          <w:szCs w:val="32"/>
        </w:rPr>
        <w:t>主办</w:t>
      </w:r>
      <w:proofErr w:type="gramEnd"/>
      <w:r>
        <w:rPr>
          <w:rFonts w:ascii="仿宋" w:eastAsia="仿宋" w:hAnsi="仿宋" w:cs="仿宋" w:hint="eastAsia"/>
          <w:sz w:val="32"/>
          <w:szCs w:val="32"/>
        </w:rPr>
        <w:t>方做好相关安全工作。</w:t>
      </w:r>
    </w:p>
    <w:p w14:paraId="55177E43"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2.主办方须熟悉礼堂内部及周围环境，知晓安全通道出入口、逃生路线及灭火设备存放位置，确保</w:t>
      </w:r>
      <w:r w:rsidRPr="00016110">
        <w:rPr>
          <w:rFonts w:ascii="仿宋" w:eastAsia="仿宋" w:hAnsi="仿宋" w:cs="仿宋" w:hint="eastAsia"/>
          <w:sz w:val="32"/>
          <w:szCs w:val="32"/>
        </w:rPr>
        <w:t>消防</w:t>
      </w:r>
      <w:r>
        <w:rPr>
          <w:rFonts w:ascii="仿宋" w:eastAsia="仿宋" w:hAnsi="仿宋" w:cs="仿宋" w:hint="eastAsia"/>
          <w:sz w:val="32"/>
          <w:szCs w:val="32"/>
        </w:rPr>
        <w:t>疏散通道和</w:t>
      </w:r>
      <w:r>
        <w:rPr>
          <w:rFonts w:ascii="仿宋" w:eastAsia="仿宋" w:hAnsi="仿宋" w:cs="仿宋" w:hint="eastAsia"/>
          <w:sz w:val="32"/>
          <w:szCs w:val="32"/>
        </w:rPr>
        <w:lastRenderedPageBreak/>
        <w:t>安全出口畅通。</w:t>
      </w:r>
    </w:p>
    <w:p w14:paraId="0153A8D6"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3.为保证演出效果，主办方如</w:t>
      </w:r>
      <w:r w:rsidRPr="00016110">
        <w:rPr>
          <w:rFonts w:ascii="仿宋" w:eastAsia="仿宋" w:hAnsi="仿宋" w:cs="仿宋" w:hint="eastAsia"/>
          <w:sz w:val="32"/>
          <w:szCs w:val="32"/>
        </w:rPr>
        <w:t>需</w:t>
      </w:r>
      <w:r>
        <w:rPr>
          <w:rFonts w:ascii="仿宋" w:eastAsia="仿宋" w:hAnsi="仿宋" w:cs="仿宋" w:hint="eastAsia"/>
          <w:sz w:val="32"/>
          <w:szCs w:val="32"/>
        </w:rPr>
        <w:t>外带灯光、音响、屏幕等设备须经礼堂主管部门同意</w:t>
      </w:r>
      <w:proofErr w:type="gramStart"/>
      <w:r>
        <w:rPr>
          <w:rFonts w:ascii="仿宋" w:eastAsia="仿宋" w:hAnsi="仿宋" w:cs="仿宋" w:hint="eastAsia"/>
          <w:sz w:val="32"/>
          <w:szCs w:val="32"/>
        </w:rPr>
        <w:t>且签订</w:t>
      </w:r>
      <w:proofErr w:type="gramEnd"/>
      <w:r>
        <w:rPr>
          <w:rFonts w:ascii="仿宋" w:eastAsia="仿宋" w:hAnsi="仿宋" w:cs="仿宋" w:hint="eastAsia"/>
          <w:sz w:val="32"/>
          <w:szCs w:val="32"/>
        </w:rPr>
        <w:t>《辽宁大学礼堂外带设备使用安全协议》方可安装，安装新设备出现任何相关设备安全问题需由</w:t>
      </w:r>
      <w:r w:rsidRPr="00016110">
        <w:rPr>
          <w:rFonts w:ascii="仿宋" w:eastAsia="仿宋" w:hAnsi="仿宋" w:cs="仿宋" w:hint="eastAsia"/>
          <w:sz w:val="32"/>
          <w:szCs w:val="32"/>
        </w:rPr>
        <w:t>主办方</w:t>
      </w:r>
      <w:r>
        <w:rPr>
          <w:rFonts w:ascii="仿宋" w:eastAsia="仿宋" w:hAnsi="仿宋" w:cs="仿宋" w:hint="eastAsia"/>
          <w:sz w:val="32"/>
          <w:szCs w:val="32"/>
        </w:rPr>
        <w:t>负全责。</w:t>
      </w:r>
    </w:p>
    <w:p w14:paraId="0180BAB7"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4.如遇火灾、踩踏等紧急事故，须由使用方安全责任人负责现场调度，疏散人员，组织实施救援</w:t>
      </w:r>
      <w:r w:rsidRPr="00016110">
        <w:rPr>
          <w:rFonts w:ascii="仿宋" w:eastAsia="仿宋" w:hAnsi="仿宋" w:cs="仿宋" w:hint="eastAsia"/>
          <w:sz w:val="32"/>
          <w:szCs w:val="32"/>
        </w:rPr>
        <w:t>等</w:t>
      </w:r>
      <w:r>
        <w:rPr>
          <w:rFonts w:ascii="仿宋" w:eastAsia="仿宋" w:hAnsi="仿宋" w:cs="仿宋" w:hint="eastAsia"/>
          <w:sz w:val="32"/>
          <w:szCs w:val="32"/>
        </w:rPr>
        <w:t>工作。</w:t>
      </w:r>
      <w:r w:rsidRPr="00016110">
        <w:rPr>
          <w:rFonts w:ascii="仿宋" w:eastAsia="仿宋" w:hAnsi="仿宋" w:cs="仿宋" w:hint="eastAsia"/>
          <w:sz w:val="32"/>
          <w:szCs w:val="32"/>
        </w:rPr>
        <w:t>若</w:t>
      </w:r>
      <w:r>
        <w:rPr>
          <w:rFonts w:ascii="仿宋" w:eastAsia="仿宋" w:hAnsi="仿宋" w:cs="仿宋" w:hint="eastAsia"/>
          <w:sz w:val="32"/>
          <w:szCs w:val="32"/>
        </w:rPr>
        <w:t>造成人员伤亡或财产损失等须追究使用方安全责任人相关责任。</w:t>
      </w:r>
    </w:p>
    <w:p w14:paraId="4287AEF6" w14:textId="77777777" w:rsidR="004C541A" w:rsidRDefault="00000000">
      <w:pPr>
        <w:adjustRightInd w:val="0"/>
        <w:snapToGrid w:val="0"/>
        <w:spacing w:line="560" w:lineRule="atLeas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 xml:space="preserve">三、礼堂观演或参会人员职责 </w:t>
      </w:r>
    </w:p>
    <w:p w14:paraId="6A4FE658"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1.禁止携带易燃易爆及危险品进入礼堂；</w:t>
      </w:r>
    </w:p>
    <w:p w14:paraId="1644C0CC"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2.禁止在礼堂内吸烟；</w:t>
      </w:r>
    </w:p>
    <w:p w14:paraId="66A50B21"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3.禁止在礼堂</w:t>
      </w:r>
      <w:r w:rsidRPr="00016110">
        <w:rPr>
          <w:rFonts w:ascii="仿宋" w:eastAsia="仿宋" w:hAnsi="仿宋" w:cs="仿宋" w:hint="eastAsia"/>
          <w:sz w:val="32"/>
          <w:szCs w:val="32"/>
        </w:rPr>
        <w:t>食用</w:t>
      </w:r>
      <w:r>
        <w:rPr>
          <w:rFonts w:ascii="仿宋" w:eastAsia="仿宋" w:hAnsi="仿宋" w:cs="仿宋" w:hint="eastAsia"/>
          <w:sz w:val="32"/>
          <w:szCs w:val="32"/>
        </w:rPr>
        <w:t>有壳食品；</w:t>
      </w:r>
    </w:p>
    <w:p w14:paraId="64A8D398"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4.禁止在消防通道处堆放杂物，须保证消防及疏散通道畅通；</w:t>
      </w:r>
    </w:p>
    <w:p w14:paraId="3BCA498F"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5.如观众、</w:t>
      </w:r>
      <w:r w:rsidRPr="00016110">
        <w:rPr>
          <w:rFonts w:ascii="仿宋" w:eastAsia="仿宋" w:hAnsi="仿宋" w:cs="仿宋" w:hint="eastAsia"/>
          <w:sz w:val="32"/>
          <w:szCs w:val="32"/>
        </w:rPr>
        <w:t>与会</w:t>
      </w:r>
      <w:r>
        <w:rPr>
          <w:rFonts w:ascii="仿宋" w:eastAsia="仿宋" w:hAnsi="仿宋" w:cs="仿宋" w:hint="eastAsia"/>
          <w:sz w:val="32"/>
          <w:szCs w:val="32"/>
        </w:rPr>
        <w:t>人员或演职人员发生冲突，安全责任人须进行及时处理，若造成人身伤害、财产损失须追究安全责任人责任。</w:t>
      </w:r>
    </w:p>
    <w:p w14:paraId="5A74B689" w14:textId="77777777" w:rsidR="004C541A" w:rsidRDefault="00000000">
      <w:pPr>
        <w:adjustRightInd w:val="0"/>
        <w:snapToGrid w:val="0"/>
        <w:spacing w:line="560" w:lineRule="atLeas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四、应急措施</w:t>
      </w:r>
    </w:p>
    <w:p w14:paraId="4A8B7977"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1.消防及疏散通道须保持畅通，消防通道及安全门不得锁闭。</w:t>
      </w:r>
    </w:p>
    <w:p w14:paraId="63BF9FF2"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2.自然灾害、火灾、踩踏、打架斗殴等事故发生时，使用方安全责任人及疏散引导责任人应迅速</w:t>
      </w:r>
      <w:r w:rsidRPr="00016110">
        <w:rPr>
          <w:rFonts w:ascii="仿宋" w:eastAsia="仿宋" w:hAnsi="仿宋" w:cs="仿宋" w:hint="eastAsia"/>
          <w:sz w:val="32"/>
          <w:szCs w:val="32"/>
        </w:rPr>
        <w:t>到达</w:t>
      </w:r>
      <w:r>
        <w:rPr>
          <w:rFonts w:ascii="仿宋" w:eastAsia="仿宋" w:hAnsi="仿宋" w:cs="仿宋" w:hint="eastAsia"/>
          <w:sz w:val="32"/>
          <w:szCs w:val="32"/>
        </w:rPr>
        <w:t>事故现场，</w:t>
      </w:r>
      <w:r w:rsidRPr="00016110">
        <w:rPr>
          <w:rFonts w:ascii="仿宋" w:eastAsia="仿宋" w:hAnsi="仿宋" w:cs="仿宋" w:hint="eastAsia"/>
          <w:sz w:val="32"/>
          <w:szCs w:val="32"/>
        </w:rPr>
        <w:t>并</w:t>
      </w:r>
      <w:r>
        <w:rPr>
          <w:rFonts w:ascii="仿宋" w:eastAsia="仿宋" w:hAnsi="仿宋" w:cs="仿宋" w:hint="eastAsia"/>
          <w:sz w:val="32"/>
          <w:szCs w:val="32"/>
        </w:rPr>
        <w:t>指挥人群有组织的疏散。</w:t>
      </w:r>
    </w:p>
    <w:p w14:paraId="4967FF53"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3.疏散路线尽量简洁，安全出口的利用要</w:t>
      </w:r>
      <w:r w:rsidRPr="00016110">
        <w:rPr>
          <w:rFonts w:ascii="仿宋" w:eastAsia="仿宋" w:hAnsi="仿宋" w:cs="仿宋" w:hint="eastAsia"/>
          <w:sz w:val="32"/>
          <w:szCs w:val="32"/>
        </w:rPr>
        <w:t>均衡</w:t>
      </w:r>
      <w:r>
        <w:rPr>
          <w:rFonts w:ascii="仿宋" w:eastAsia="仿宋" w:hAnsi="仿宋" w:cs="仿宋" w:hint="eastAsia"/>
          <w:sz w:val="32"/>
          <w:szCs w:val="32"/>
        </w:rPr>
        <w:t>。</w:t>
      </w:r>
    </w:p>
    <w:p w14:paraId="35BAE905"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4.活动安全责任人须下设疏散引导小组，小组成员要分工明确，统一指挥。</w:t>
      </w:r>
    </w:p>
    <w:p w14:paraId="5E8A44CC" w14:textId="77777777" w:rsidR="004C541A" w:rsidRDefault="00000000">
      <w:pPr>
        <w:pStyle w:val="a9"/>
        <w:widowControl/>
        <w:shd w:val="clear" w:color="auto" w:fill="FFFFFF"/>
        <w:adjustRightInd w:val="0"/>
        <w:snapToGrid w:val="0"/>
        <w:spacing w:before="0" w:beforeAutospacing="0" w:after="0" w:afterAutospacing="0" w:line="560" w:lineRule="atLeast"/>
        <w:ind w:firstLineChars="200"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5.火灾发生时要沉着冷静，采用合适的方法组织灭火、疏散人员。</w:t>
      </w:r>
    </w:p>
    <w:p w14:paraId="797E3A18" w14:textId="77777777" w:rsidR="004C541A" w:rsidRDefault="00000000">
      <w:pPr>
        <w:pStyle w:val="a9"/>
        <w:widowControl/>
        <w:shd w:val="clear" w:color="auto" w:fill="FFFFFF"/>
        <w:adjustRightInd w:val="0"/>
        <w:snapToGrid w:val="0"/>
        <w:spacing w:before="0" w:beforeAutospacing="0" w:after="0" w:afterAutospacing="0" w:line="560" w:lineRule="atLeas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6.对于能立即扑灭的火灾要抓住</w:t>
      </w:r>
      <w:r w:rsidRPr="00016110">
        <w:rPr>
          <w:rFonts w:ascii="仿宋" w:eastAsia="仿宋" w:hAnsi="仿宋" w:cs="仿宋" w:hint="eastAsia"/>
          <w:sz w:val="32"/>
          <w:szCs w:val="32"/>
          <w:shd w:val="clear" w:color="auto" w:fill="FFFFFF"/>
        </w:rPr>
        <w:t>时机</w:t>
      </w:r>
      <w:r>
        <w:rPr>
          <w:rFonts w:ascii="仿宋" w:eastAsia="仿宋" w:hAnsi="仿宋" w:cs="仿宋" w:hint="eastAsia"/>
          <w:sz w:val="32"/>
          <w:szCs w:val="32"/>
          <w:shd w:val="clear" w:color="auto" w:fill="FFFFFF"/>
        </w:rPr>
        <w:t>，迅速</w:t>
      </w:r>
      <w:r w:rsidRPr="00016110">
        <w:rPr>
          <w:rFonts w:ascii="仿宋" w:eastAsia="仿宋" w:hAnsi="仿宋" w:cs="仿宋" w:hint="eastAsia"/>
          <w:sz w:val="32"/>
          <w:szCs w:val="32"/>
          <w:shd w:val="clear" w:color="auto" w:fill="FFFFFF"/>
        </w:rPr>
        <w:t>扑灭</w:t>
      </w:r>
      <w:r>
        <w:rPr>
          <w:rFonts w:ascii="仿宋" w:eastAsia="仿宋" w:hAnsi="仿宋" w:cs="仿宋" w:hint="eastAsia"/>
          <w:sz w:val="32"/>
          <w:szCs w:val="32"/>
          <w:shd w:val="clear" w:color="auto" w:fill="FFFFFF"/>
        </w:rPr>
        <w:t>。</w:t>
      </w:r>
    </w:p>
    <w:p w14:paraId="7A87B1D0" w14:textId="77777777" w:rsidR="004C541A" w:rsidRDefault="00000000">
      <w:pPr>
        <w:pStyle w:val="a9"/>
        <w:widowControl/>
        <w:shd w:val="clear" w:color="auto" w:fill="FFFFFF"/>
        <w:adjustRightInd w:val="0"/>
        <w:snapToGrid w:val="0"/>
        <w:spacing w:before="0" w:beforeAutospacing="0" w:after="0" w:afterAutospacing="0" w:line="560" w:lineRule="atLeas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7.对于不能立即扑灭的火灾，要采取“先控制，后消灭”的原则，先控制火势的蔓延，再开展全面扑救，一举</w:t>
      </w:r>
      <w:r w:rsidRPr="00016110">
        <w:rPr>
          <w:rFonts w:ascii="仿宋" w:eastAsia="仿宋" w:hAnsi="仿宋" w:cs="仿宋" w:hint="eastAsia"/>
          <w:sz w:val="32"/>
          <w:szCs w:val="32"/>
          <w:shd w:val="clear" w:color="auto" w:fill="FFFFFF"/>
        </w:rPr>
        <w:t>扑灭</w:t>
      </w:r>
      <w:r>
        <w:rPr>
          <w:rFonts w:ascii="仿宋" w:eastAsia="仿宋" w:hAnsi="仿宋" w:cs="仿宋" w:hint="eastAsia"/>
          <w:sz w:val="32"/>
          <w:szCs w:val="32"/>
          <w:shd w:val="clear" w:color="auto" w:fill="FFFFFF"/>
        </w:rPr>
        <w:t>。</w:t>
      </w:r>
    </w:p>
    <w:p w14:paraId="42BD6595" w14:textId="77777777" w:rsidR="004C541A" w:rsidRDefault="00000000">
      <w:pPr>
        <w:pStyle w:val="a9"/>
        <w:widowControl/>
        <w:shd w:val="clear" w:color="auto" w:fill="FFFFFF"/>
        <w:adjustRightInd w:val="0"/>
        <w:snapToGrid w:val="0"/>
        <w:spacing w:before="0" w:beforeAutospacing="0" w:after="0" w:afterAutospacing="0" w:line="560" w:lineRule="atLeas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8.火场如有人受到围困，要坚持“先救人，后救火”的原则，全盘考虑，制定灭火疏散方案。</w:t>
      </w:r>
    </w:p>
    <w:p w14:paraId="76EEEA0E" w14:textId="77777777" w:rsidR="004C541A" w:rsidRDefault="00000000">
      <w:pPr>
        <w:pStyle w:val="a9"/>
        <w:widowControl/>
        <w:shd w:val="clear" w:color="auto" w:fill="FFFFFF"/>
        <w:adjustRightInd w:val="0"/>
        <w:snapToGrid w:val="0"/>
        <w:spacing w:before="0" w:beforeAutospacing="0" w:after="0" w:afterAutospacing="0" w:line="560" w:lineRule="atLeas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9.火场扑救要采取“先重点，后一般”的原则。</w:t>
      </w:r>
    </w:p>
    <w:p w14:paraId="46960EA0" w14:textId="77777777" w:rsidR="004C541A" w:rsidRDefault="00000000">
      <w:pPr>
        <w:pStyle w:val="a9"/>
        <w:widowControl/>
        <w:shd w:val="clear" w:color="auto" w:fill="FFFFFF"/>
        <w:adjustRightInd w:val="0"/>
        <w:snapToGrid w:val="0"/>
        <w:spacing w:before="0" w:beforeAutospacing="0" w:after="0" w:afterAutospacing="0" w:line="560" w:lineRule="atLeas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10.火灾扑救要服从使用方安全责任人的统一指挥，分工明确，密切配合，当消防人员赶到后使用方安全责任人应将火场现场情况报告消防人员，并服从消防人员统一指挥，配合消防人员实施灭火、疏散人员。</w:t>
      </w:r>
    </w:p>
    <w:p w14:paraId="05BBED91" w14:textId="77777777" w:rsidR="004C541A" w:rsidRDefault="00000000">
      <w:pPr>
        <w:pStyle w:val="a9"/>
        <w:widowControl/>
        <w:shd w:val="clear" w:color="auto" w:fill="FFFFFF"/>
        <w:adjustRightInd w:val="0"/>
        <w:snapToGrid w:val="0"/>
        <w:spacing w:before="0" w:beforeAutospacing="0" w:after="0" w:afterAutospacing="0" w:line="560" w:lineRule="atLeas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11.火灾扑救完毕，要积极协助公安消防部门调查火灾原因，处理火灾事故。</w:t>
      </w:r>
    </w:p>
    <w:p w14:paraId="15957433" w14:textId="77777777" w:rsidR="004C541A" w:rsidRDefault="004C541A">
      <w:pPr>
        <w:adjustRightInd w:val="0"/>
        <w:snapToGrid w:val="0"/>
        <w:spacing w:line="560" w:lineRule="atLeast"/>
        <w:rPr>
          <w:rFonts w:ascii="仿宋" w:eastAsia="仿宋" w:hAnsi="仿宋" w:cs="仿宋" w:hint="eastAsia"/>
          <w:sz w:val="32"/>
          <w:szCs w:val="32"/>
        </w:rPr>
      </w:pPr>
    </w:p>
    <w:p w14:paraId="21977590" w14:textId="77777777" w:rsidR="004C541A" w:rsidRDefault="004C541A">
      <w:pPr>
        <w:adjustRightInd w:val="0"/>
        <w:snapToGrid w:val="0"/>
        <w:spacing w:line="560" w:lineRule="atLeast"/>
        <w:ind w:firstLineChars="1900" w:firstLine="6080"/>
        <w:rPr>
          <w:rFonts w:ascii="仿宋" w:eastAsia="仿宋" w:hAnsi="仿宋" w:cs="仿宋" w:hint="eastAsia"/>
          <w:sz w:val="32"/>
          <w:szCs w:val="32"/>
        </w:rPr>
      </w:pPr>
    </w:p>
    <w:p w14:paraId="4A85CF28" w14:textId="77777777" w:rsidR="004C541A" w:rsidRDefault="00000000">
      <w:pPr>
        <w:adjustRightInd w:val="0"/>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活动安全责任人签字（单位盖章）：</w:t>
      </w:r>
    </w:p>
    <w:p w14:paraId="0A691411" w14:textId="77777777" w:rsidR="004C541A" w:rsidRDefault="004C541A">
      <w:pPr>
        <w:adjustRightInd w:val="0"/>
        <w:snapToGrid w:val="0"/>
        <w:spacing w:line="560" w:lineRule="atLeast"/>
        <w:ind w:firstLineChars="200" w:firstLine="640"/>
        <w:rPr>
          <w:rFonts w:ascii="仿宋" w:eastAsia="仿宋" w:hAnsi="仿宋" w:cs="仿宋" w:hint="eastAsia"/>
          <w:sz w:val="32"/>
          <w:szCs w:val="32"/>
        </w:rPr>
      </w:pPr>
    </w:p>
    <w:p w14:paraId="0E102ADE" w14:textId="77777777" w:rsidR="004C541A" w:rsidRDefault="004C541A">
      <w:pPr>
        <w:adjustRightInd w:val="0"/>
        <w:snapToGrid w:val="0"/>
        <w:spacing w:line="560" w:lineRule="atLeast"/>
        <w:ind w:firstLineChars="200" w:firstLine="640"/>
        <w:rPr>
          <w:rFonts w:ascii="仿宋" w:eastAsia="仿宋" w:hAnsi="仿宋" w:cs="仿宋" w:hint="eastAsia"/>
          <w:sz w:val="32"/>
          <w:szCs w:val="32"/>
        </w:rPr>
      </w:pPr>
    </w:p>
    <w:p w14:paraId="7C337E2E" w14:textId="77777777" w:rsidR="004C541A" w:rsidRDefault="00000000">
      <w:pPr>
        <w:adjustRightInd w:val="0"/>
        <w:snapToGrid w:val="0"/>
        <w:spacing w:line="560" w:lineRule="atLeast"/>
        <w:ind w:firstLineChars="1000" w:firstLine="3200"/>
        <w:rPr>
          <w:rFonts w:ascii="仿宋" w:eastAsia="仿宋" w:hAnsi="仿宋" w:cs="仿宋" w:hint="eastAsia"/>
          <w:sz w:val="32"/>
          <w:szCs w:val="32"/>
        </w:rPr>
      </w:pPr>
      <w:r>
        <w:rPr>
          <w:rFonts w:ascii="仿宋" w:eastAsia="仿宋" w:hAnsi="仿宋" w:cs="仿宋" w:hint="eastAsia"/>
          <w:sz w:val="32"/>
          <w:szCs w:val="32"/>
        </w:rPr>
        <w:t>辽宁大学体育场馆运营管理中心</w:t>
      </w:r>
    </w:p>
    <w:p w14:paraId="5E7C98C7" w14:textId="77777777" w:rsidR="004C541A" w:rsidRDefault="00000000">
      <w:pPr>
        <w:adjustRightInd w:val="0"/>
        <w:snapToGrid w:val="0"/>
        <w:spacing w:line="560" w:lineRule="atLeast"/>
        <w:ind w:firstLineChars="1300" w:firstLine="4160"/>
        <w:rPr>
          <w:rFonts w:ascii="仿宋" w:eastAsia="仿宋" w:hAnsi="仿宋" w:cs="仿宋" w:hint="eastAsia"/>
          <w:sz w:val="32"/>
          <w:szCs w:val="32"/>
        </w:rPr>
      </w:pPr>
      <w:r>
        <w:rPr>
          <w:rFonts w:ascii="仿宋" w:eastAsia="仿宋" w:hAnsi="仿宋" w:cs="仿宋" w:hint="eastAsia"/>
          <w:sz w:val="32"/>
          <w:szCs w:val="32"/>
        </w:rPr>
        <w:t>年      月     日</w:t>
      </w:r>
    </w:p>
    <w:p w14:paraId="57E8F9F1" w14:textId="77777777" w:rsidR="004C541A" w:rsidRDefault="004C541A">
      <w:pPr>
        <w:rPr>
          <w:rFonts w:hint="eastAsia"/>
        </w:rPr>
      </w:pPr>
    </w:p>
    <w:sectPr w:rsidR="004C5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6110"/>
    <w:rsid w:val="001D2205"/>
    <w:rsid w:val="0022437B"/>
    <w:rsid w:val="002E7D85"/>
    <w:rsid w:val="00477A4F"/>
    <w:rsid w:val="004C541A"/>
    <w:rsid w:val="00637FF1"/>
    <w:rsid w:val="00753354"/>
    <w:rsid w:val="0088718F"/>
    <w:rsid w:val="00AF5EB9"/>
    <w:rsid w:val="00B92BB9"/>
    <w:rsid w:val="00B92CF4"/>
    <w:rsid w:val="00C90E6F"/>
    <w:rsid w:val="00EF2A64"/>
    <w:rsid w:val="00F00CE1"/>
    <w:rsid w:val="00FF12A9"/>
    <w:rsid w:val="1FC2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561CF-F9FF-4095-BBDA-E234555E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pPr>
      <w:spacing w:before="100" w:beforeAutospacing="1" w:after="100" w:afterAutospacing="1"/>
      <w:jc w:val="left"/>
    </w:pPr>
    <w:rPr>
      <w:rFonts w:ascii="Calibri" w:eastAsia="宋体" w:hAnsi="Calibri" w:cs="Times New Roman"/>
      <w:kern w:val="0"/>
      <w:sz w:val="24"/>
      <w:szCs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工作处 后勤</dc:creator>
  <cp:lastModifiedBy>136288057@qq.com</cp:lastModifiedBy>
  <cp:revision>6</cp:revision>
  <dcterms:created xsi:type="dcterms:W3CDTF">2025-03-18T11:41:00Z</dcterms:created>
  <dcterms:modified xsi:type="dcterms:W3CDTF">2025-03-18T15:24:00Z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eyJoZGlkIjoiMzEwNTM5NzYwMDRjMzkwZTVkZjY2ODkwMGIxNGU0OTUiLCJ1c2VySWQiOiI0Mzg3Mjk0MjUifQ==</vt:lpwstr>
  </property>
  <property fmtid="{D5CDD505-2E9C-101B-9397-08002B2CF9AE}" pid="3" name="KSOProductBuildVer">
    <vt:lpwstr>2052-12.1.0.19770</vt:lpwstr>
  </property>
  <property fmtid="{D5CDD505-2E9C-101B-9397-08002B2CF9AE}" pid="4" name="ICV">
    <vt:lpwstr>0AC0D1D4682A4387B0A7DC136DE02EF8_12</vt:lpwstr>
  </property>
</Properties>
</file>